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70DA" w14:textId="5D43F668" w:rsidR="00402DFA" w:rsidRPr="00C67453" w:rsidRDefault="00C3668A" w:rsidP="00C3668A">
      <w:pPr>
        <w:rPr>
          <w:rFonts w:ascii="Calibri" w:hAnsi="Calibri" w:cs="Calibri"/>
          <w:color w:val="595959" w:themeColor="text1" w:themeTint="A6"/>
          <w:sz w:val="21"/>
          <w:szCs w:val="32"/>
        </w:rPr>
      </w:pPr>
      <w:r w:rsidRPr="00C67453">
        <w:rPr>
          <w:rFonts w:ascii="Calibri" w:hAnsi="Calibri" w:cs="Calibri"/>
          <w:noProof/>
          <w:color w:val="000000" w:themeColor="text1"/>
          <w:sz w:val="21"/>
          <w:szCs w:val="21"/>
        </w:rPr>
        <w:drawing>
          <wp:anchor distT="0" distB="0" distL="114300" distR="114300" simplePos="0" relativeHeight="251667456" behindDoc="1" locked="0" layoutInCell="1" allowOverlap="1" wp14:anchorId="2A3526A5" wp14:editId="03EAAEE3">
            <wp:simplePos x="0" y="0"/>
            <wp:positionH relativeFrom="page">
              <wp:align>right</wp:align>
            </wp:positionH>
            <wp:positionV relativeFrom="paragraph">
              <wp:posOffset>-2927985</wp:posOffset>
            </wp:positionV>
            <wp:extent cx="7772400" cy="24841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extLst>
                        <a:ext uri="{28A0092B-C50C-407E-A947-70E740481C1C}">
                          <a14:useLocalDpi xmlns:a14="http://schemas.microsoft.com/office/drawing/2010/main" val="0"/>
                        </a:ext>
                      </a:extLst>
                    </a:blip>
                    <a:stretch>
                      <a:fillRect/>
                    </a:stretch>
                  </pic:blipFill>
                  <pic:spPr>
                    <a:xfrm>
                      <a:off x="0" y="0"/>
                      <a:ext cx="7772400" cy="2484120"/>
                    </a:xfrm>
                    <a:prstGeom prst="rect">
                      <a:avLst/>
                    </a:prstGeom>
                  </pic:spPr>
                </pic:pic>
              </a:graphicData>
            </a:graphic>
            <wp14:sizeRelH relativeFrom="page">
              <wp14:pctWidth>0</wp14:pctWidth>
            </wp14:sizeRelH>
            <wp14:sizeRelV relativeFrom="page">
              <wp14:pctHeight>0</wp14:pctHeight>
            </wp14:sizeRelV>
          </wp:anchor>
        </w:drawing>
      </w:r>
      <w:r w:rsidRPr="00C3668A">
        <w:rPr>
          <w:rFonts w:ascii="Calibri" w:hAnsi="Calibri" w:cs="Calibri"/>
          <w:noProof/>
          <w:color w:val="595959" w:themeColor="text1" w:themeTint="A6"/>
          <w:sz w:val="21"/>
          <w:szCs w:val="21"/>
        </w:rPr>
        <w:t>A</w:t>
      </w:r>
      <w:r w:rsidR="00402DFA" w:rsidRPr="00C3668A">
        <w:rPr>
          <w:rFonts w:ascii="Calibri" w:hAnsi="Calibri" w:cs="Calibri"/>
          <w:color w:val="595959" w:themeColor="text1" w:themeTint="A6"/>
          <w:sz w:val="21"/>
          <w:szCs w:val="32"/>
        </w:rPr>
        <w:t xml:space="preserve">t </w:t>
      </w:r>
      <w:r w:rsidR="004B6EB9">
        <w:rPr>
          <w:rFonts w:ascii="Calibri" w:hAnsi="Calibri" w:cs="Calibri"/>
          <w:color w:val="595959" w:themeColor="text1" w:themeTint="A6"/>
          <w:sz w:val="21"/>
          <w:szCs w:val="32"/>
        </w:rPr>
        <w:t>First Palmetto Bank</w:t>
      </w:r>
      <w:r w:rsidR="00402DFA" w:rsidRPr="00C67453">
        <w:rPr>
          <w:rFonts w:ascii="Calibri" w:hAnsi="Calibri" w:cs="Calibri"/>
          <w:color w:val="595959" w:themeColor="text1" w:themeTint="A6"/>
          <w:sz w:val="21"/>
          <w:szCs w:val="32"/>
        </w:rPr>
        <w:t xml:space="preserve">, we are committed to supporting families and individuals who make their living serving others in the community. As part of this commitment, we offer a unique financial opportunity for current or retired law enforcement officers, educators, health care workers, firefighters, and other first responders; </w:t>
      </w:r>
      <w:r w:rsidR="00F76AF8">
        <w:rPr>
          <w:rFonts w:ascii="Calibri" w:hAnsi="Calibri" w:cs="Calibri"/>
          <w:color w:val="595959" w:themeColor="text1" w:themeTint="A6"/>
          <w:sz w:val="21"/>
          <w:szCs w:val="32"/>
        </w:rPr>
        <w:t xml:space="preserve">and </w:t>
      </w:r>
      <w:r w:rsidR="00402DFA" w:rsidRPr="00C67453">
        <w:rPr>
          <w:rFonts w:ascii="Calibri" w:hAnsi="Calibri" w:cs="Calibri"/>
          <w:color w:val="595959" w:themeColor="text1" w:themeTint="A6"/>
          <w:sz w:val="21"/>
          <w:szCs w:val="32"/>
        </w:rPr>
        <w:t>veterans and active-duty members of the military or their surviving spouse who are purchasing a home.</w:t>
      </w:r>
      <w:r w:rsidR="00402DFA" w:rsidRPr="00C67453">
        <w:rPr>
          <w:rFonts w:ascii="Calibri" w:hAnsi="Calibri" w:cs="Calibri"/>
          <w:bCs/>
          <w:color w:val="01517C"/>
          <w:sz w:val="18"/>
        </w:rPr>
        <w:br/>
      </w:r>
      <w:r w:rsidR="00402DFA" w:rsidRPr="00C67453">
        <w:rPr>
          <w:rFonts w:ascii="Calibri" w:hAnsi="Calibri" w:cs="Calibri"/>
          <w:bCs/>
          <w:color w:val="01517C"/>
          <w:sz w:val="18"/>
        </w:rPr>
        <w:br/>
      </w:r>
      <w:r w:rsidR="004B6EB9">
        <w:rPr>
          <w:rFonts w:ascii="Calibri" w:hAnsi="Calibri" w:cs="Calibri"/>
          <w:color w:val="595959" w:themeColor="text1" w:themeTint="A6"/>
          <w:sz w:val="21"/>
          <w:szCs w:val="32"/>
        </w:rPr>
        <w:t>First Palmetto Bank</w:t>
      </w:r>
      <w:r w:rsidR="00402DFA" w:rsidRPr="00C67453">
        <w:rPr>
          <w:rFonts w:ascii="Calibri" w:hAnsi="Calibri" w:cs="Calibri"/>
          <w:color w:val="595959" w:themeColor="text1" w:themeTint="A6"/>
          <w:sz w:val="21"/>
          <w:szCs w:val="32"/>
        </w:rPr>
        <w:t xml:space="preserve"> can help homebuyers access up to $</w:t>
      </w:r>
      <w:r w:rsidR="005054E2">
        <w:rPr>
          <w:rFonts w:ascii="Calibri" w:hAnsi="Calibri" w:cs="Calibri"/>
          <w:color w:val="595959" w:themeColor="text1" w:themeTint="A6"/>
          <w:sz w:val="21"/>
          <w:szCs w:val="32"/>
        </w:rPr>
        <w:t>20</w:t>
      </w:r>
      <w:r w:rsidR="00402DFA" w:rsidRPr="00C67453">
        <w:rPr>
          <w:rFonts w:ascii="Calibri" w:hAnsi="Calibri" w:cs="Calibri"/>
          <w:color w:val="595959" w:themeColor="text1" w:themeTint="A6"/>
          <w:sz w:val="21"/>
          <w:szCs w:val="32"/>
        </w:rPr>
        <w:t>,000 to assist with the down payment, closing costs, and rehabilitation costs incurred when purchasing a home.</w:t>
      </w:r>
      <w:r w:rsidR="00402DFA" w:rsidRPr="00C67453">
        <w:rPr>
          <w:rFonts w:ascii="Calibri" w:hAnsi="Calibri" w:cs="Calibri"/>
          <w:bCs/>
          <w:color w:val="01517C"/>
          <w:sz w:val="18"/>
        </w:rPr>
        <w:br/>
      </w:r>
      <w:r w:rsidR="00402DFA" w:rsidRPr="00C67453">
        <w:rPr>
          <w:rFonts w:ascii="Calibri" w:hAnsi="Calibri" w:cs="Calibri"/>
          <w:bCs/>
          <w:color w:val="01517C"/>
          <w:sz w:val="18"/>
        </w:rPr>
        <w:br/>
      </w:r>
      <w:r w:rsidR="00402DFA" w:rsidRPr="00C67453">
        <w:rPr>
          <w:rFonts w:ascii="Calibri" w:hAnsi="Calibri" w:cs="Calibri"/>
          <w:color w:val="595959" w:themeColor="text1" w:themeTint="A6"/>
          <w:sz w:val="21"/>
          <w:szCs w:val="32"/>
        </w:rPr>
        <w:t>Funding is available to qualified homebuyers that meet product and income eligibility requirements, including first-time homebuyers or families and individuals that currently own a home or have previously owned a home.</w:t>
      </w:r>
    </w:p>
    <w:p w14:paraId="11293EEE" w14:textId="77777777" w:rsidR="00402DFA" w:rsidRPr="00C67453" w:rsidRDefault="00402DFA" w:rsidP="00402DFA">
      <w:pPr>
        <w:spacing w:line="236" w:lineRule="auto"/>
        <w:ind w:left="53"/>
        <w:rPr>
          <w:rFonts w:ascii="Calibri" w:hAnsi="Calibri" w:cs="Calibri"/>
          <w:color w:val="595959" w:themeColor="text1" w:themeTint="A6"/>
          <w:sz w:val="21"/>
          <w:szCs w:val="32"/>
        </w:rPr>
      </w:pPr>
    </w:p>
    <w:p w14:paraId="765FDADE" w14:textId="77777777" w:rsidR="00402DFA" w:rsidRPr="00C67453" w:rsidRDefault="00402DFA" w:rsidP="00402DFA">
      <w:pPr>
        <w:spacing w:line="236" w:lineRule="auto"/>
        <w:ind w:left="53"/>
        <w:rPr>
          <w:rFonts w:ascii="Calibri" w:hAnsi="Calibri" w:cs="Calibri"/>
          <w:color w:val="595959" w:themeColor="text1" w:themeTint="A6"/>
          <w:sz w:val="21"/>
          <w:szCs w:val="32"/>
        </w:rPr>
      </w:pPr>
    </w:p>
    <w:p w14:paraId="565C6F82" w14:textId="77777777" w:rsidR="00402DFA" w:rsidRPr="00C67453" w:rsidRDefault="00402DFA" w:rsidP="00402DFA">
      <w:pPr>
        <w:spacing w:line="236" w:lineRule="auto"/>
        <w:rPr>
          <w:rFonts w:ascii="Calibri" w:hAnsi="Calibri" w:cs="Calibri"/>
          <w:bCs/>
          <w:color w:val="01517C"/>
          <w:sz w:val="18"/>
        </w:rPr>
      </w:pPr>
      <w:r w:rsidRPr="00C67453">
        <w:rPr>
          <w:rFonts w:ascii="Calibri" w:hAnsi="Calibri" w:cs="Calibri"/>
          <w:color w:val="F8982D"/>
          <w:sz w:val="21"/>
          <w:szCs w:val="21"/>
        </w:rPr>
        <w:t>In addition to meeting eligibility requirements, the homebuyer must:</w:t>
      </w:r>
    </w:p>
    <w:p w14:paraId="332EA79E" w14:textId="77777777" w:rsidR="00402DFA" w:rsidRPr="00C67453" w:rsidRDefault="00402DFA" w:rsidP="00402DFA">
      <w:pPr>
        <w:spacing w:line="236" w:lineRule="auto"/>
        <w:rPr>
          <w:rFonts w:ascii="Calibri" w:hAnsi="Calibri" w:cs="Calibri"/>
          <w:bCs/>
          <w:color w:val="01517C"/>
          <w:sz w:val="18"/>
        </w:rPr>
      </w:pPr>
    </w:p>
    <w:p w14:paraId="1FE126A0" w14:textId="77777777" w:rsidR="00402DFA" w:rsidRPr="00C67453" w:rsidRDefault="00402DFA" w:rsidP="00402DFA">
      <w:pPr>
        <w:pStyle w:val="ListParagraph"/>
        <w:numPr>
          <w:ilvl w:val="0"/>
          <w:numId w:val="6"/>
        </w:numPr>
        <w:autoSpaceDE w:val="0"/>
        <w:autoSpaceDN w:val="0"/>
        <w:adjustRightInd w:val="0"/>
        <w:spacing w:after="0"/>
        <w:ind w:left="360"/>
        <w:rPr>
          <w:color w:val="595959" w:themeColor="text1" w:themeTint="A6"/>
          <w:sz w:val="21"/>
          <w:szCs w:val="21"/>
        </w:rPr>
      </w:pPr>
      <w:r w:rsidRPr="00C67453">
        <w:rPr>
          <w:color w:val="595959" w:themeColor="text1" w:themeTint="A6"/>
          <w:sz w:val="21"/>
          <w:szCs w:val="21"/>
        </w:rPr>
        <w:t>Contribute at least $1,000 toward the purchase of the home</w:t>
      </w:r>
    </w:p>
    <w:p w14:paraId="1B9393E1" w14:textId="77777777" w:rsidR="00402DFA" w:rsidRPr="00C67453" w:rsidRDefault="00402DFA" w:rsidP="00402DFA">
      <w:pPr>
        <w:pStyle w:val="ListParagraph"/>
        <w:numPr>
          <w:ilvl w:val="0"/>
          <w:numId w:val="6"/>
        </w:numPr>
        <w:autoSpaceDE w:val="0"/>
        <w:autoSpaceDN w:val="0"/>
        <w:adjustRightInd w:val="0"/>
        <w:spacing w:after="0"/>
        <w:ind w:left="360"/>
        <w:rPr>
          <w:color w:val="595959" w:themeColor="text1" w:themeTint="A6"/>
          <w:sz w:val="21"/>
          <w:szCs w:val="21"/>
        </w:rPr>
      </w:pPr>
      <w:r w:rsidRPr="00C67453">
        <w:rPr>
          <w:color w:val="595959" w:themeColor="text1" w:themeTint="A6"/>
          <w:sz w:val="21"/>
          <w:szCs w:val="21"/>
        </w:rPr>
        <w:t>Occupy the home as a primary residence</w:t>
      </w:r>
    </w:p>
    <w:p w14:paraId="079CEAB8" w14:textId="77777777" w:rsidR="00402DFA" w:rsidRPr="00C67453" w:rsidRDefault="00402DFA" w:rsidP="00402DFA">
      <w:pPr>
        <w:pStyle w:val="ListParagraph"/>
        <w:numPr>
          <w:ilvl w:val="0"/>
          <w:numId w:val="6"/>
        </w:numPr>
        <w:autoSpaceDE w:val="0"/>
        <w:autoSpaceDN w:val="0"/>
        <w:adjustRightInd w:val="0"/>
        <w:spacing w:after="0"/>
        <w:ind w:left="360"/>
        <w:rPr>
          <w:color w:val="595959" w:themeColor="text1" w:themeTint="A6"/>
          <w:sz w:val="21"/>
          <w:szCs w:val="21"/>
        </w:rPr>
      </w:pPr>
      <w:r w:rsidRPr="00C67453">
        <w:rPr>
          <w:color w:val="595959" w:themeColor="text1" w:themeTint="A6"/>
          <w:sz w:val="21"/>
          <w:szCs w:val="21"/>
        </w:rPr>
        <w:t>Complete a homebuyer education and financial literacy course specified by FHLBank Atlanta</w:t>
      </w:r>
    </w:p>
    <w:p w14:paraId="29E54F5D" w14:textId="77777777" w:rsidR="00402DFA" w:rsidRPr="00C67453" w:rsidRDefault="00402DFA" w:rsidP="00402DFA">
      <w:pPr>
        <w:autoSpaceDE w:val="0"/>
        <w:autoSpaceDN w:val="0"/>
        <w:adjustRightInd w:val="0"/>
        <w:rPr>
          <w:rFonts w:ascii="Calibri" w:hAnsi="Calibri" w:cs="Calibri"/>
          <w:color w:val="595959" w:themeColor="text1" w:themeTint="A6"/>
          <w:sz w:val="21"/>
          <w:szCs w:val="21"/>
        </w:rPr>
      </w:pPr>
    </w:p>
    <w:p w14:paraId="5D22774E" w14:textId="77777777" w:rsidR="00402DFA" w:rsidRPr="00C67453" w:rsidRDefault="00402DFA" w:rsidP="00402DFA">
      <w:pPr>
        <w:spacing w:after="444"/>
        <w:rPr>
          <w:rFonts w:ascii="Calibri" w:hAnsi="Calibri" w:cs="Calibri"/>
          <w:b/>
          <w:color w:val="01517C"/>
          <w:sz w:val="18"/>
        </w:rPr>
      </w:pPr>
      <w:r w:rsidRPr="00C67453">
        <w:rPr>
          <w:rFonts w:ascii="Calibri" w:hAnsi="Calibri" w:cs="Calibri"/>
          <w:b/>
          <w:color w:val="01517C"/>
          <w:sz w:val="18"/>
        </w:rPr>
        <w:br/>
        <w:t>Please contact one of our loan officers to determine if you are eligible for Community Partners funding to begin your application process.</w:t>
      </w:r>
    </w:p>
    <w:p w14:paraId="66EC6C54" w14:textId="4BD800C4" w:rsidR="00402DFA" w:rsidRDefault="00027134" w:rsidP="00027134">
      <w:pPr>
        <w:autoSpaceDE w:val="0"/>
        <w:autoSpaceDN w:val="0"/>
        <w:adjustRightInd w:val="0"/>
        <w:rPr>
          <w:rFonts w:ascii="Calibri" w:hAnsi="Calibri" w:cs="Calibri"/>
          <w:color w:val="4472C4" w:themeColor="accent1"/>
          <w:sz w:val="21"/>
          <w:szCs w:val="21"/>
        </w:rPr>
      </w:pPr>
      <w:r>
        <w:rPr>
          <w:rFonts w:ascii="Calibri" w:hAnsi="Calibri" w:cs="Calibri"/>
          <w:noProof/>
          <w:color w:val="595959" w:themeColor="text1" w:themeTint="A6"/>
          <w:sz w:val="21"/>
          <w:szCs w:val="32"/>
        </w:rPr>
        <w:drawing>
          <wp:inline distT="0" distB="0" distL="0" distR="0" wp14:anchorId="40CB7F7C" wp14:editId="2A886CF7">
            <wp:extent cx="2377440" cy="495300"/>
            <wp:effectExtent l="0" t="0" r="3810" b="0"/>
            <wp:docPr id="1819398327" name="Picture 1" descr="A logo for a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98327" name="Picture 1" descr="A logo for a bank"/>
                    <pic:cNvPicPr/>
                  </pic:nvPicPr>
                  <pic:blipFill rotWithShape="1">
                    <a:blip r:embed="rId7" cstate="print">
                      <a:extLst>
                        <a:ext uri="{28A0092B-C50C-407E-A947-70E740481C1C}">
                          <a14:useLocalDpi xmlns:a14="http://schemas.microsoft.com/office/drawing/2010/main" val="0"/>
                        </a:ext>
                      </a:extLst>
                    </a:blip>
                    <a:srcRect l="10788" t="43055" r="10101" b="44213"/>
                    <a:stretch/>
                  </pic:blipFill>
                  <pic:spPr bwMode="auto">
                    <a:xfrm>
                      <a:off x="0" y="0"/>
                      <a:ext cx="2385302" cy="496938"/>
                    </a:xfrm>
                    <a:prstGeom prst="rect">
                      <a:avLst/>
                    </a:prstGeom>
                    <a:ln>
                      <a:noFill/>
                    </a:ln>
                    <a:extLst>
                      <a:ext uri="{53640926-AAD7-44D8-BBD7-CCE9431645EC}">
                        <a14:shadowObscured xmlns:a14="http://schemas.microsoft.com/office/drawing/2010/main"/>
                      </a:ext>
                    </a:extLst>
                  </pic:spPr>
                </pic:pic>
              </a:graphicData>
            </a:graphic>
          </wp:inline>
        </w:drawing>
      </w:r>
      <w:r w:rsidR="00402DFA" w:rsidRPr="00C67453">
        <w:rPr>
          <w:rFonts w:ascii="Calibri" w:hAnsi="Calibri" w:cs="Calibri"/>
          <w:color w:val="ED7D31" w:themeColor="accent2"/>
          <w:sz w:val="18"/>
          <w:szCs w:val="18"/>
        </w:rPr>
        <w:br/>
      </w:r>
      <w:r w:rsidR="00402DFA" w:rsidRPr="00C67453">
        <w:rPr>
          <w:rFonts w:ascii="Calibri" w:hAnsi="Calibri" w:cs="Calibri"/>
          <w:color w:val="ED7D31" w:themeColor="accent2"/>
          <w:sz w:val="18"/>
          <w:szCs w:val="18"/>
        </w:rPr>
        <w:br/>
      </w:r>
      <w:r w:rsidR="00B30C44">
        <w:rPr>
          <w:rFonts w:ascii="Calibri" w:hAnsi="Calibri" w:cs="Calibri"/>
          <w:b/>
          <w:bCs/>
          <w:color w:val="01517C"/>
          <w:sz w:val="21"/>
          <w:szCs w:val="21"/>
        </w:rPr>
        <w:t>Jacob Crowder</w:t>
      </w:r>
      <w:r w:rsidR="00402DFA" w:rsidRPr="00C67453">
        <w:rPr>
          <w:rFonts w:ascii="Calibri" w:hAnsi="Calibri" w:cs="Calibri"/>
          <w:b/>
          <w:bCs/>
          <w:color w:val="01517C"/>
          <w:sz w:val="21"/>
          <w:szCs w:val="21"/>
        </w:rPr>
        <w:br/>
      </w:r>
      <w:r w:rsidR="004B6EB9">
        <w:rPr>
          <w:rFonts w:ascii="Calibri" w:hAnsi="Calibri" w:cs="Calibri"/>
          <w:color w:val="4472C4" w:themeColor="accent1"/>
          <w:sz w:val="21"/>
          <w:szCs w:val="21"/>
        </w:rPr>
        <w:t>Mortgage Bank</w:t>
      </w:r>
      <w:r w:rsidR="00402DFA" w:rsidRPr="00C67453">
        <w:rPr>
          <w:rFonts w:ascii="Calibri" w:hAnsi="Calibri" w:cs="Calibri"/>
          <w:color w:val="4472C4" w:themeColor="accent1"/>
          <w:sz w:val="21"/>
          <w:szCs w:val="21"/>
        </w:rPr>
        <w:br/>
      </w:r>
      <w:r w:rsidR="004B6EB9">
        <w:rPr>
          <w:rFonts w:ascii="Calibri" w:hAnsi="Calibri" w:cs="Calibri"/>
          <w:color w:val="4472C4" w:themeColor="accent1"/>
          <w:sz w:val="21"/>
          <w:szCs w:val="21"/>
        </w:rPr>
        <w:t>803-</w:t>
      </w:r>
      <w:r w:rsidR="00B30C44">
        <w:rPr>
          <w:rFonts w:ascii="Calibri" w:hAnsi="Calibri" w:cs="Calibri"/>
          <w:color w:val="4472C4" w:themeColor="accent1"/>
          <w:sz w:val="21"/>
          <w:szCs w:val="21"/>
        </w:rPr>
        <w:t>719-1005</w:t>
      </w:r>
      <w:r w:rsidR="00402DFA" w:rsidRPr="00C67453">
        <w:rPr>
          <w:rFonts w:ascii="Calibri" w:hAnsi="Calibri" w:cs="Calibri"/>
          <w:color w:val="4472C4" w:themeColor="accent1"/>
          <w:sz w:val="21"/>
          <w:szCs w:val="21"/>
        </w:rPr>
        <w:br/>
      </w:r>
      <w:hyperlink r:id="rId8" w:history="1">
        <w:r w:rsidR="00BC42F1" w:rsidRPr="00031718">
          <w:rPr>
            <w:rStyle w:val="Hyperlink"/>
            <w:rFonts w:ascii="Calibri" w:hAnsi="Calibri" w:cs="Calibri"/>
            <w:sz w:val="21"/>
            <w:szCs w:val="21"/>
          </w:rPr>
          <w:t>jcrowder@firstpalmetto.com</w:t>
        </w:r>
      </w:hyperlink>
    </w:p>
    <w:p w14:paraId="1B9418B1" w14:textId="77777777" w:rsidR="00027134" w:rsidRDefault="00027134" w:rsidP="00027134">
      <w:pPr>
        <w:autoSpaceDE w:val="0"/>
        <w:autoSpaceDN w:val="0"/>
        <w:adjustRightInd w:val="0"/>
        <w:rPr>
          <w:rFonts w:ascii="Calibri" w:hAnsi="Calibri" w:cs="Calibri"/>
          <w:color w:val="4472C4" w:themeColor="accent1"/>
          <w:sz w:val="21"/>
          <w:szCs w:val="21"/>
        </w:rPr>
      </w:pPr>
    </w:p>
    <w:p w14:paraId="1704B234" w14:textId="243C0434" w:rsidR="00402DFA" w:rsidRPr="00C67453" w:rsidRDefault="00402DFA" w:rsidP="00402DFA">
      <w:pPr>
        <w:rPr>
          <w:rFonts w:ascii="Calibri" w:hAnsi="Calibri" w:cs="Calibri"/>
          <w:color w:val="595959" w:themeColor="text1" w:themeTint="A6"/>
          <w:sz w:val="12"/>
          <w:szCs w:val="12"/>
        </w:rPr>
        <w:sectPr w:rsidR="00402DFA" w:rsidRPr="00C67453" w:rsidSect="00C67453">
          <w:pgSz w:w="12240" w:h="15840"/>
          <w:pgMar w:top="4608" w:right="1440" w:bottom="864" w:left="1440" w:header="720" w:footer="720" w:gutter="0"/>
          <w:cols w:space="720"/>
          <w:docGrid w:linePitch="360"/>
        </w:sectPr>
      </w:pPr>
      <w:r w:rsidRPr="00C67453">
        <w:rPr>
          <w:rFonts w:ascii="Calibri" w:hAnsi="Calibri" w:cs="Calibri"/>
          <w:color w:val="000000" w:themeColor="text1"/>
          <w:sz w:val="12"/>
          <w:szCs w:val="12"/>
        </w:rPr>
        <w:br/>
      </w:r>
      <w:r w:rsidRPr="00C67453">
        <w:rPr>
          <w:rFonts w:ascii="Calibri" w:hAnsi="Calibri" w:cs="Calibri"/>
          <w:color w:val="595959" w:themeColor="text1" w:themeTint="A6"/>
          <w:sz w:val="12"/>
          <w:szCs w:val="12"/>
        </w:rPr>
        <w:t>*Community Partners is a product of the Federal Home Loan Bank of Atlanta. Household income restrictions and other requirements apply. Please see Federal Home Loan Bank of Atlanta’s Affordable Housing Program Implementation Plan at www.fhlbatl.com for complete product requirements.</w:t>
      </w:r>
    </w:p>
    <w:p w14:paraId="4FD832CA" w14:textId="6B656266" w:rsidR="00402DFA" w:rsidRPr="008C1648" w:rsidRDefault="00402DFA" w:rsidP="00402DFA">
      <w:pPr>
        <w:spacing w:line="236" w:lineRule="auto"/>
        <w:ind w:left="53"/>
        <w:rPr>
          <w:rFonts w:ascii="Arial" w:hAnsi="Arial" w:cs="Arial"/>
          <w:color w:val="595959" w:themeColor="text1" w:themeTint="A6"/>
          <w:sz w:val="12"/>
          <w:szCs w:val="12"/>
        </w:rPr>
        <w:sectPr w:rsidR="00402DFA" w:rsidRPr="008C1648" w:rsidSect="001B589A">
          <w:type w:val="continuous"/>
          <w:pgSz w:w="12240" w:h="15840" w:code="1"/>
          <w:pgMar w:top="5040" w:right="1440" w:bottom="864" w:left="1440" w:header="720" w:footer="720" w:gutter="0"/>
          <w:cols w:space="720"/>
          <w:docGrid w:linePitch="360"/>
        </w:sectPr>
      </w:pPr>
    </w:p>
    <w:p w14:paraId="140E2C53" w14:textId="77777777" w:rsidR="00E05BAF" w:rsidRPr="001B589A" w:rsidRDefault="00E05BAF" w:rsidP="00E05BAF">
      <w:pPr>
        <w:rPr>
          <w:sz w:val="2"/>
          <w:szCs w:val="2"/>
        </w:rPr>
      </w:pPr>
    </w:p>
    <w:sectPr w:rsidR="00E05BAF" w:rsidRPr="001B589A" w:rsidSect="001B589A">
      <w:type w:val="continuous"/>
      <w:pgSz w:w="12240" w:h="15840" w:code="1"/>
      <w:pgMar w:top="576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5C47"/>
    <w:multiLevelType w:val="hybridMultilevel"/>
    <w:tmpl w:val="373EC91C"/>
    <w:lvl w:ilvl="0" w:tplc="E618DDB4">
      <w:start w:val="1"/>
      <w:numFmt w:val="bullet"/>
      <w:lvlText w:val="•"/>
      <w:lvlJc w:val="left"/>
      <w:pPr>
        <w:ind w:left="28"/>
      </w:pPr>
      <w:rPr>
        <w:rFonts w:ascii="Calibri" w:eastAsia="Calibri" w:hAnsi="Calibri" w:cs="Calibri"/>
        <w:b w:val="0"/>
        <w:i w:val="0"/>
        <w:strike w:val="0"/>
        <w:dstrike w:val="0"/>
        <w:color w:val="3085B9"/>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372A8"/>
    <w:multiLevelType w:val="hybridMultilevel"/>
    <w:tmpl w:val="E3E2F1FC"/>
    <w:lvl w:ilvl="0" w:tplc="E618DDB4">
      <w:start w:val="1"/>
      <w:numFmt w:val="bullet"/>
      <w:lvlText w:val="•"/>
      <w:lvlJc w:val="left"/>
      <w:pPr>
        <w:ind w:left="720" w:hanging="360"/>
      </w:pPr>
      <w:rPr>
        <w:rFonts w:ascii="Calibri" w:eastAsia="Calibri" w:hAnsi="Calibri" w:cs="Calibri"/>
        <w:b w:val="0"/>
        <w:i w:val="0"/>
        <w:strike w:val="0"/>
        <w:dstrike w:val="0"/>
        <w:color w:val="3085B9"/>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4694D"/>
    <w:multiLevelType w:val="hybridMultilevel"/>
    <w:tmpl w:val="EC3073F0"/>
    <w:lvl w:ilvl="0" w:tplc="E618DDB4">
      <w:start w:val="1"/>
      <w:numFmt w:val="bullet"/>
      <w:lvlText w:val="•"/>
      <w:lvlJc w:val="left"/>
      <w:pPr>
        <w:ind w:left="720" w:hanging="360"/>
      </w:pPr>
      <w:rPr>
        <w:rFonts w:ascii="Calibri" w:eastAsia="Calibri" w:hAnsi="Calibri" w:cs="Calibri" w:hint="default"/>
        <w:b w:val="0"/>
        <w:i w:val="0"/>
        <w:strike w:val="0"/>
        <w:dstrike w:val="0"/>
        <w:color w:val="3085B9"/>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52A491B"/>
    <w:multiLevelType w:val="hybridMultilevel"/>
    <w:tmpl w:val="AB54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920FB"/>
    <w:multiLevelType w:val="hybridMultilevel"/>
    <w:tmpl w:val="EA347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A121B"/>
    <w:multiLevelType w:val="hybridMultilevel"/>
    <w:tmpl w:val="7C509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32379">
    <w:abstractNumId w:val="0"/>
  </w:num>
  <w:num w:numId="2" w16cid:durableId="825510987">
    <w:abstractNumId w:val="4"/>
  </w:num>
  <w:num w:numId="3" w16cid:durableId="1788085946">
    <w:abstractNumId w:val="5"/>
  </w:num>
  <w:num w:numId="4" w16cid:durableId="1903827988">
    <w:abstractNumId w:val="3"/>
  </w:num>
  <w:num w:numId="5" w16cid:durableId="51924292">
    <w:abstractNumId w:val="2"/>
  </w:num>
  <w:num w:numId="6" w16cid:durableId="767775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AF"/>
    <w:rsid w:val="00027134"/>
    <w:rsid w:val="000F2AD7"/>
    <w:rsid w:val="00124E68"/>
    <w:rsid w:val="001629AD"/>
    <w:rsid w:val="001A24C9"/>
    <w:rsid w:val="001B589A"/>
    <w:rsid w:val="002446E7"/>
    <w:rsid w:val="002B202C"/>
    <w:rsid w:val="00316F83"/>
    <w:rsid w:val="003671A7"/>
    <w:rsid w:val="003726F4"/>
    <w:rsid w:val="003C7569"/>
    <w:rsid w:val="00402DFA"/>
    <w:rsid w:val="0041112F"/>
    <w:rsid w:val="004558A8"/>
    <w:rsid w:val="004B6EB9"/>
    <w:rsid w:val="005054E2"/>
    <w:rsid w:val="00527EA6"/>
    <w:rsid w:val="005B0650"/>
    <w:rsid w:val="007B3321"/>
    <w:rsid w:val="007D7FAF"/>
    <w:rsid w:val="0083485D"/>
    <w:rsid w:val="0088583E"/>
    <w:rsid w:val="008A1727"/>
    <w:rsid w:val="008C1648"/>
    <w:rsid w:val="009442B2"/>
    <w:rsid w:val="00A26CF9"/>
    <w:rsid w:val="00A52E11"/>
    <w:rsid w:val="00A952F6"/>
    <w:rsid w:val="00AF48CB"/>
    <w:rsid w:val="00B30C44"/>
    <w:rsid w:val="00B6624D"/>
    <w:rsid w:val="00BB71F8"/>
    <w:rsid w:val="00BC42F1"/>
    <w:rsid w:val="00C3126B"/>
    <w:rsid w:val="00C3668A"/>
    <w:rsid w:val="00C67453"/>
    <w:rsid w:val="00D67C6C"/>
    <w:rsid w:val="00DC7594"/>
    <w:rsid w:val="00DE7FD0"/>
    <w:rsid w:val="00E05BAF"/>
    <w:rsid w:val="00E33B32"/>
    <w:rsid w:val="00E34125"/>
    <w:rsid w:val="00EF406F"/>
    <w:rsid w:val="00EF542D"/>
    <w:rsid w:val="00F76AF8"/>
    <w:rsid w:val="00FE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A5D2"/>
  <w15:chartTrackingRefBased/>
  <w15:docId w15:val="{08451535-FD68-734D-8BEA-63E9E76C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BAF"/>
    <w:pPr>
      <w:spacing w:after="85" w:line="260" w:lineRule="auto"/>
      <w:ind w:left="720" w:hanging="10"/>
      <w:contextualSpacing/>
    </w:pPr>
    <w:rPr>
      <w:rFonts w:ascii="Calibri" w:eastAsia="Calibri" w:hAnsi="Calibri" w:cs="Calibri"/>
      <w:color w:val="221F20"/>
      <w:sz w:val="22"/>
    </w:rPr>
  </w:style>
  <w:style w:type="paragraph" w:styleId="Revision">
    <w:name w:val="Revision"/>
    <w:hidden/>
    <w:uiPriority w:val="99"/>
    <w:semiHidden/>
    <w:rsid w:val="00F76AF8"/>
  </w:style>
  <w:style w:type="character" w:styleId="CommentReference">
    <w:name w:val="annotation reference"/>
    <w:basedOn w:val="DefaultParagraphFont"/>
    <w:uiPriority w:val="99"/>
    <w:semiHidden/>
    <w:unhideWhenUsed/>
    <w:rsid w:val="00F76AF8"/>
    <w:rPr>
      <w:sz w:val="16"/>
      <w:szCs w:val="16"/>
    </w:rPr>
  </w:style>
  <w:style w:type="paragraph" w:styleId="CommentText">
    <w:name w:val="annotation text"/>
    <w:basedOn w:val="Normal"/>
    <w:link w:val="CommentTextChar"/>
    <w:uiPriority w:val="99"/>
    <w:unhideWhenUsed/>
    <w:rsid w:val="00F76AF8"/>
    <w:rPr>
      <w:sz w:val="20"/>
      <w:szCs w:val="20"/>
    </w:rPr>
  </w:style>
  <w:style w:type="character" w:customStyle="1" w:styleId="CommentTextChar">
    <w:name w:val="Comment Text Char"/>
    <w:basedOn w:val="DefaultParagraphFont"/>
    <w:link w:val="CommentText"/>
    <w:uiPriority w:val="99"/>
    <w:rsid w:val="00F76AF8"/>
    <w:rPr>
      <w:sz w:val="20"/>
      <w:szCs w:val="20"/>
    </w:rPr>
  </w:style>
  <w:style w:type="paragraph" w:styleId="CommentSubject">
    <w:name w:val="annotation subject"/>
    <w:basedOn w:val="CommentText"/>
    <w:next w:val="CommentText"/>
    <w:link w:val="CommentSubjectChar"/>
    <w:uiPriority w:val="99"/>
    <w:semiHidden/>
    <w:unhideWhenUsed/>
    <w:rsid w:val="00F76AF8"/>
    <w:rPr>
      <w:b/>
      <w:bCs/>
    </w:rPr>
  </w:style>
  <w:style w:type="character" w:customStyle="1" w:styleId="CommentSubjectChar">
    <w:name w:val="Comment Subject Char"/>
    <w:basedOn w:val="CommentTextChar"/>
    <w:link w:val="CommentSubject"/>
    <w:uiPriority w:val="99"/>
    <w:semiHidden/>
    <w:rsid w:val="00F76AF8"/>
    <w:rPr>
      <w:b/>
      <w:bCs/>
      <w:sz w:val="20"/>
      <w:szCs w:val="20"/>
    </w:rPr>
  </w:style>
  <w:style w:type="character" w:styleId="Hyperlink">
    <w:name w:val="Hyperlink"/>
    <w:basedOn w:val="DefaultParagraphFont"/>
    <w:uiPriority w:val="99"/>
    <w:unhideWhenUsed/>
    <w:rsid w:val="00027134"/>
    <w:rPr>
      <w:color w:val="0563C1" w:themeColor="hyperlink"/>
      <w:u w:val="single"/>
    </w:rPr>
  </w:style>
  <w:style w:type="character" w:styleId="UnresolvedMention">
    <w:name w:val="Unresolved Mention"/>
    <w:basedOn w:val="DefaultParagraphFont"/>
    <w:uiPriority w:val="99"/>
    <w:semiHidden/>
    <w:unhideWhenUsed/>
    <w:rsid w:val="0002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rowder@firstpalmetto.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A13B-35D0-400D-BC51-45937549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1391</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Collins</dc:creator>
  <cp:keywords/>
  <dc:description/>
  <cp:lastModifiedBy>Jacob Crowder</cp:lastModifiedBy>
  <cp:revision>3</cp:revision>
  <cp:lastPrinted>2025-02-25T01:55:00Z</cp:lastPrinted>
  <dcterms:created xsi:type="dcterms:W3CDTF">2025-02-25T14:04:00Z</dcterms:created>
  <dcterms:modified xsi:type="dcterms:W3CDTF">2025-02-25T14:04:00Z</dcterms:modified>
</cp:coreProperties>
</file>